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after="450" w:line="450" w:lineRule="atLeast"/>
        <w:jc w:val="center"/>
        <w:rPr>
          <w:rFonts w:hint="default" w:ascii="方正小标宋简体" w:hAnsi="方正小标宋简体" w:eastAsia="方正小标宋简体" w:cs="方正小标宋简体"/>
          <w:sz w:val="44"/>
          <w:szCs w:val="44"/>
        </w:rPr>
      </w:pPr>
      <w:bookmarkStart w:id="0" w:name="_Toc37663392"/>
      <w:bookmarkStart w:id="1" w:name="_Toc40762371"/>
      <w:bookmarkStart w:id="2" w:name="_Toc37569520"/>
      <w:bookmarkStart w:id="3" w:name="_Toc46308528"/>
      <w:bookmarkStart w:id="4" w:name="_Toc46308684"/>
      <w:bookmarkStart w:id="5" w:name="_Toc37581421"/>
      <w:bookmarkStart w:id="6" w:name="_Toc37331039"/>
      <w:bookmarkStart w:id="7" w:name="_Toc37331081"/>
      <w:bookmarkStart w:id="8" w:name="_Toc37245277"/>
      <w:r>
        <w:rPr>
          <w:rFonts w:hint="eastAsia" w:ascii="黑体" w:eastAsia="黑体"/>
          <w:sz w:val="44"/>
          <w:szCs w:val="44"/>
          <w:lang w:eastAsia="zh-CN"/>
        </w:rPr>
        <w:t>关于“何香凝与中国女子书画会：20世纪前半期女性艺术运动图景”展览采购运输包装服务（含运输保险、展期保险）需求书</w:t>
      </w:r>
    </w:p>
    <w:p/>
    <w:bookmarkEnd w:id="0"/>
    <w:bookmarkEnd w:id="1"/>
    <w:bookmarkEnd w:id="2"/>
    <w:bookmarkEnd w:id="3"/>
    <w:bookmarkEnd w:id="4"/>
    <w:bookmarkEnd w:id="5"/>
    <w:bookmarkEnd w:id="6"/>
    <w:bookmarkEnd w:id="7"/>
    <w:bookmarkEnd w:id="8"/>
    <w:p>
      <w:pPr>
        <w:spacing w:line="600" w:lineRule="exact"/>
        <w:ind w:firstLine="562" w:firstLineChars="200"/>
        <w:outlineLvl w:val="1"/>
        <w:rPr>
          <w:rFonts w:ascii="宋体" w:hAnsi="宋体" w:eastAsia="宋体" w:cs="宋体"/>
          <w:b/>
          <w:sz w:val="28"/>
          <w:szCs w:val="28"/>
        </w:rPr>
      </w:pPr>
      <w:bookmarkStart w:id="9" w:name="_Toc419986981"/>
      <w:r>
        <w:rPr>
          <w:rFonts w:hint="eastAsia" w:ascii="宋体" w:hAnsi="宋体" w:eastAsia="宋体" w:cs="宋体"/>
          <w:b/>
          <w:sz w:val="28"/>
          <w:szCs w:val="28"/>
        </w:rPr>
        <w:t>一、投标人资格</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参加本项目投标的投标人除应具备《政府采购法》第二十二条供应商资格条件外，还必须符合下列要求：</w:t>
      </w:r>
    </w:p>
    <w:p>
      <w:pPr>
        <w:autoSpaceDE w:val="0"/>
        <w:autoSpaceDN w:val="0"/>
        <w:adjustRightInd w:val="0"/>
        <w:spacing w:line="360" w:lineRule="auto"/>
        <w:rPr>
          <w:rFonts w:hint="eastAsia" w:ascii="仿宋" w:hAnsi="仿宋" w:eastAsia="仿宋" w:cs="仿宋"/>
          <w:color w:val="000000"/>
          <w:sz w:val="28"/>
          <w:szCs w:val="28"/>
        </w:rPr>
      </w:pPr>
      <w:r>
        <w:rPr>
          <w:rFonts w:hint="eastAsia" w:ascii="仿宋" w:hAnsi="仿宋" w:eastAsia="仿宋" w:cs="仿宋"/>
          <w:sz w:val="28"/>
          <w:szCs w:val="28"/>
        </w:rPr>
        <w:t>1、</w:t>
      </w:r>
      <w:r>
        <w:rPr>
          <w:rFonts w:hint="eastAsia" w:ascii="仿宋" w:hAnsi="仿宋" w:eastAsia="仿宋" w:cs="仿宋"/>
          <w:color w:val="000000"/>
          <w:sz w:val="28"/>
          <w:szCs w:val="28"/>
        </w:rPr>
        <w:t>具有独立承担民事责任的能力（提供法人或者其他组织的营业执照，自然人的身份证明）；</w:t>
      </w:r>
    </w:p>
    <w:p>
      <w:pPr>
        <w:autoSpaceDE w:val="0"/>
        <w:autoSpaceDN w:val="0"/>
        <w:adjustRightIn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具有良好的商业信誉和健全的财务会计制度（提供参加本次谈判活动前</w:t>
      </w:r>
      <w:r>
        <w:rPr>
          <w:rFonts w:hint="eastAsia" w:ascii="仿宋" w:hAnsi="仿宋" w:eastAsia="仿宋" w:cs="仿宋"/>
          <w:color w:val="000000"/>
          <w:sz w:val="28"/>
          <w:szCs w:val="28"/>
          <w:lang w:val="en-US"/>
        </w:rPr>
        <w:t>一</w:t>
      </w:r>
      <w:r>
        <w:rPr>
          <w:rFonts w:hint="eastAsia" w:ascii="仿宋" w:hAnsi="仿宋" w:eastAsia="仿宋" w:cs="仿宋"/>
          <w:color w:val="000000"/>
          <w:sz w:val="28"/>
          <w:szCs w:val="28"/>
          <w:lang w:val="en-US" w:eastAsia="zh-CN"/>
        </w:rPr>
        <w:t>年</w:t>
      </w:r>
      <w:r>
        <w:rPr>
          <w:rFonts w:hint="eastAsia" w:ascii="仿宋" w:hAnsi="仿宋" w:eastAsia="仿宋" w:cs="仿宋"/>
          <w:sz w:val="28"/>
          <w:szCs w:val="28"/>
        </w:rPr>
        <w:t>的</w:t>
      </w:r>
      <w:r>
        <w:rPr>
          <w:rFonts w:hint="eastAsia" w:ascii="仿宋" w:hAnsi="仿宋" w:eastAsia="仿宋" w:cs="仿宋"/>
          <w:sz w:val="28"/>
          <w:szCs w:val="28"/>
          <w:lang w:val="en-US" w:eastAsia="zh-CN"/>
        </w:rPr>
        <w:t>审计报告</w:t>
      </w:r>
      <w:r>
        <w:rPr>
          <w:rFonts w:hint="eastAsia" w:ascii="仿宋" w:hAnsi="仿宋" w:eastAsia="仿宋" w:cs="仿宋"/>
          <w:sz w:val="28"/>
          <w:szCs w:val="28"/>
        </w:rPr>
        <w:t>）</w:t>
      </w:r>
      <w:r>
        <w:rPr>
          <w:rFonts w:hint="eastAsia" w:ascii="仿宋" w:hAnsi="仿宋" w:eastAsia="仿宋" w:cs="仿宋"/>
          <w:color w:val="000000"/>
          <w:sz w:val="28"/>
          <w:szCs w:val="28"/>
        </w:rPr>
        <w:t>；</w:t>
      </w:r>
    </w:p>
    <w:p>
      <w:pPr>
        <w:autoSpaceDE w:val="0"/>
        <w:autoSpaceDN w:val="0"/>
        <w:adjustRightInd w:val="0"/>
        <w:spacing w:line="360" w:lineRule="auto"/>
        <w:rPr>
          <w:rFonts w:ascii="宋体" w:hAnsi="宋体" w:eastAsia="宋体"/>
          <w:color w:val="000000"/>
          <w:sz w:val="24"/>
          <w:szCs w:val="24"/>
        </w:rPr>
      </w:pPr>
      <w:r>
        <w:rPr>
          <w:rFonts w:hint="eastAsia" w:ascii="仿宋" w:hAnsi="仿宋" w:eastAsia="仿宋" w:cs="仿宋"/>
          <w:color w:val="000000"/>
          <w:sz w:val="28"/>
          <w:szCs w:val="28"/>
        </w:rPr>
        <w:t>3</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具有履行合同所必需的设备和专业技术能力（根据项目需求提供</w:t>
      </w:r>
      <w:r>
        <w:rPr>
          <w:rFonts w:hint="eastAsia" w:ascii="仿宋" w:hAnsi="仿宋" w:eastAsia="仿宋" w:cs="仿宋"/>
          <w:sz w:val="28"/>
          <w:szCs w:val="28"/>
        </w:rPr>
        <w:t>履行合同所必需的设备和专业技术能力的证明材料或相关加盖公章的承诺函）</w:t>
      </w:r>
      <w:r>
        <w:rPr>
          <w:rFonts w:hint="eastAsia" w:ascii="仿宋" w:hAnsi="仿宋" w:eastAsia="仿宋" w:cs="仿宋"/>
          <w:color w:val="000000"/>
          <w:sz w:val="28"/>
          <w:szCs w:val="28"/>
        </w:rPr>
        <w:t>；</w:t>
      </w:r>
      <w:r>
        <w:rPr>
          <w:rFonts w:hint="eastAsia" w:ascii="宋体" w:hAnsi="宋体" w:eastAsia="宋体"/>
          <w:color w:val="000000"/>
          <w:sz w:val="24"/>
          <w:szCs w:val="24"/>
        </w:rPr>
        <w:t xml:space="preserve"> </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、投标人参与本项目投标前三年内，在经营活动中没有重大违法记录（由供应商在《投标人具备投标资格的证明文件》中作出声明）。</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5、法律、行政法规规定的其他条件。</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6、投标人应为具有为本采购项目提供艺术品保险服务的大型保险公司。投标人理赔响应高效、具备全国修复网络、项目负责人具备丰富艺术品保险经验者更佳。</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7、投标人从事过国家文物展览运输服务者可优先考虑。</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8、投标人应负责采购本项目的运输保险、展期保险。（保险公司在国内具备五年及以上艺术品保险服务经验者）。</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9、本项目不接受联合体参与竞争。</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rPr>
      </w:pPr>
    </w:p>
    <w:p>
      <w:pPr>
        <w:numPr>
          <w:ilvl w:val="0"/>
          <w:numId w:val="1"/>
        </w:numPr>
        <w:spacing w:line="600" w:lineRule="exact"/>
        <w:ind w:firstLine="562" w:firstLineChars="200"/>
        <w:outlineLvl w:val="1"/>
        <w:rPr>
          <w:rFonts w:ascii="宋体" w:hAnsi="宋体" w:eastAsia="宋体" w:cs="宋体"/>
          <w:b/>
          <w:sz w:val="28"/>
          <w:szCs w:val="28"/>
        </w:rPr>
      </w:pPr>
      <w:r>
        <w:rPr>
          <w:rFonts w:hint="eastAsia" w:ascii="宋体" w:hAnsi="宋体" w:eastAsia="宋体" w:cs="宋体"/>
          <w:b/>
          <w:sz w:val="28"/>
          <w:szCs w:val="28"/>
        </w:rPr>
        <w:t>项目概况</w:t>
      </w:r>
      <w:bookmarkEnd w:id="9"/>
    </w:p>
    <w:p>
      <w:pPr>
        <w:spacing w:line="600" w:lineRule="exact"/>
        <w:outlineLvl w:val="1"/>
        <w:rPr>
          <w:rFonts w:ascii="宋体" w:hAnsi="宋体" w:eastAsia="宋体" w:cs="宋体"/>
          <w:b/>
          <w:sz w:val="28"/>
          <w:szCs w:val="28"/>
        </w:rPr>
      </w:pPr>
    </w:p>
    <w:p>
      <w:pPr>
        <w:tabs>
          <w:tab w:val="left" w:pos="540"/>
        </w:tabs>
        <w:spacing w:line="600" w:lineRule="exact"/>
        <w:ind w:firstLine="560" w:firstLineChars="200"/>
        <w:rPr>
          <w:rFonts w:ascii="仿宋_GB2312" w:hAnsi="仿宋_GB2312" w:eastAsia="仿宋_GB2312" w:cs="仿宋_GB2312"/>
          <w:bCs/>
          <w:sz w:val="28"/>
          <w:szCs w:val="28"/>
        </w:rPr>
      </w:pPr>
      <w:r>
        <w:rPr>
          <w:rFonts w:hint="eastAsia" w:ascii="Times New Roman" w:hAnsi="Times New Roman" w:eastAsia="仿宋_GB2312" w:cs="Times New Roman"/>
          <w:kern w:val="0"/>
          <w:sz w:val="28"/>
          <w:szCs w:val="28"/>
        </w:rPr>
        <w:t>1、采购</w:t>
      </w:r>
      <w:r>
        <w:rPr>
          <w:rFonts w:hint="eastAsia" w:ascii="仿宋_GB2312" w:hAnsi="仿宋_GB2312" w:eastAsia="仿宋_GB2312" w:cs="仿宋_GB2312"/>
          <w:bCs/>
          <w:sz w:val="28"/>
          <w:szCs w:val="28"/>
        </w:rPr>
        <w:t>预算：</w:t>
      </w:r>
    </w:p>
    <w:tbl>
      <w:tblPr>
        <w:tblStyle w:val="4"/>
        <w:tblW w:w="8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2784"/>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预算金额</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服务期限</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人民币</w:t>
            </w:r>
            <w:r>
              <w:rPr>
                <w:rFonts w:hint="eastAsia" w:ascii="仿宋_GB2312" w:hAnsi="仿宋_GB2312" w:eastAsia="仿宋_GB2312" w:cs="仿宋_GB2312"/>
                <w:bCs/>
                <w:sz w:val="28"/>
                <w:szCs w:val="28"/>
                <w:u w:val="single"/>
                <w:lang w:val="en-US" w:eastAsia="zh-CN"/>
              </w:rPr>
              <w:t xml:space="preserve">13 </w:t>
            </w:r>
            <w:r>
              <w:rPr>
                <w:rFonts w:hint="eastAsia" w:ascii="仿宋_GB2312" w:hAnsi="仿宋_GB2312" w:eastAsia="仿宋_GB2312" w:cs="仿宋_GB2312"/>
                <w:bCs/>
                <w:sz w:val="28"/>
                <w:szCs w:val="28"/>
              </w:rPr>
              <w:t>万元</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签订合同</w:t>
            </w:r>
            <w:r>
              <w:rPr>
                <w:rFonts w:hint="eastAsia" w:ascii="仿宋_GB2312" w:hAnsi="仿宋_GB2312" w:eastAsia="仿宋_GB2312" w:cs="仿宋_GB2312"/>
                <w:bCs/>
                <w:sz w:val="28"/>
                <w:szCs w:val="28"/>
                <w:lang w:val="en-US" w:eastAsia="zh-CN"/>
              </w:rPr>
              <w:t>90</w:t>
            </w:r>
            <w:r>
              <w:rPr>
                <w:rFonts w:hint="eastAsia" w:ascii="仿宋_GB2312" w:hAnsi="仿宋_GB2312" w:eastAsia="仿宋_GB2312" w:cs="仿宋_GB2312"/>
                <w:bCs/>
                <w:sz w:val="28"/>
                <w:szCs w:val="28"/>
              </w:rPr>
              <w:t>日内</w:t>
            </w:r>
          </w:p>
        </w:tc>
        <w:tc>
          <w:tcPr>
            <w:tcW w:w="2547" w:type="dxa"/>
            <w:vAlign w:val="center"/>
          </w:tcPr>
          <w:p>
            <w:pPr>
              <w:adjustRightInd w:val="0"/>
              <w:snapToGrid w:val="0"/>
              <w:spacing w:beforeLines="50" w:line="600" w:lineRule="exact"/>
              <w:ind w:right="-181" w:rightChars="-86"/>
              <w:jc w:val="center"/>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以合同时间为准</w:t>
            </w:r>
          </w:p>
        </w:tc>
      </w:tr>
    </w:tbl>
    <w:p>
      <w:pPr>
        <w:tabs>
          <w:tab w:val="left" w:pos="540"/>
        </w:tabs>
        <w:adjustRightInd w:val="0"/>
        <w:snapToGrid w:val="0"/>
        <w:spacing w:beforeLines="50"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lang w:val="af-ZA"/>
        </w:rPr>
        <w:t>2、</w:t>
      </w:r>
      <w:r>
        <w:rPr>
          <w:rFonts w:hint="eastAsia" w:ascii="仿宋_GB2312" w:hAnsi="仿宋_GB2312" w:eastAsia="仿宋_GB2312" w:cs="仿宋_GB2312"/>
          <w:snapToGrid w:val="0"/>
          <w:sz w:val="28"/>
          <w:szCs w:val="28"/>
        </w:rPr>
        <w:t>用户：何香凝美术馆</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3</w:t>
      </w:r>
      <w:r>
        <w:rPr>
          <w:rFonts w:hint="eastAsia" w:ascii="仿宋_GB2312" w:hAnsi="仿宋_GB2312" w:eastAsia="仿宋_GB2312" w:cs="仿宋_GB2312"/>
          <w:snapToGrid w:val="0"/>
          <w:sz w:val="28"/>
          <w:szCs w:val="28"/>
        </w:rPr>
        <w:t>、投标人应对所有的招标内容进行投标，不允许只对部分内容进行投标。</w:t>
      </w:r>
    </w:p>
    <w:p>
      <w:pPr>
        <w:spacing w:line="360" w:lineRule="auto"/>
        <w:ind w:firstLine="560" w:firstLineChars="200"/>
        <w:jc w:val="left"/>
        <w:rPr>
          <w:rFonts w:ascii="宋体" w:hAnsi="宋体" w:eastAsia="宋体"/>
          <w:bCs/>
          <w:sz w:val="24"/>
          <w:szCs w:val="24"/>
          <w:lang w:val="en-US"/>
        </w:rPr>
      </w:pPr>
      <w:r>
        <w:rPr>
          <w:rFonts w:hint="eastAsia" w:ascii="Times New Roman" w:hAnsi="Times New Roman" w:eastAsia="仿宋_GB2312" w:cs="Times New Roman"/>
          <w:kern w:val="0"/>
          <w:sz w:val="28"/>
          <w:szCs w:val="28"/>
        </w:rPr>
        <w:t>4</w:t>
      </w:r>
      <w:r>
        <w:rPr>
          <w:rFonts w:hint="eastAsia" w:ascii="仿宋_GB2312" w:hAnsi="仿宋_GB2312" w:eastAsia="仿宋_GB2312" w:cs="仿宋_GB2312"/>
          <w:snapToGrid w:val="0"/>
          <w:sz w:val="28"/>
          <w:szCs w:val="28"/>
        </w:rPr>
        <w:t>、</w:t>
      </w:r>
      <w:r>
        <w:rPr>
          <w:rFonts w:hint="eastAsia" w:ascii="仿宋" w:hAnsi="仿宋" w:eastAsia="仿宋" w:cs="仿宋"/>
          <w:bCs/>
          <w:sz w:val="28"/>
          <w:szCs w:val="28"/>
          <w:lang w:val="en-US"/>
        </w:rPr>
        <w:t>报价应包括交付使用前的所有费用</w:t>
      </w:r>
      <w:r>
        <w:rPr>
          <w:rFonts w:hint="eastAsia" w:ascii="仿宋" w:hAnsi="仿宋" w:eastAsia="仿宋" w:cs="仿宋"/>
          <w:bCs/>
          <w:sz w:val="28"/>
          <w:szCs w:val="28"/>
          <w:lang w:val="en-US" w:eastAsia="zh-CN"/>
        </w:rPr>
        <w:t>，含</w:t>
      </w:r>
      <w:r>
        <w:rPr>
          <w:rFonts w:hint="eastAsia" w:ascii="仿宋" w:hAnsi="仿宋" w:eastAsia="仿宋" w:cs="仿宋"/>
          <w:bCs/>
          <w:sz w:val="28"/>
          <w:szCs w:val="28"/>
          <w:lang w:val="en-US"/>
        </w:rPr>
        <w:t>国家强制缴纳的费用</w:t>
      </w:r>
      <w:r>
        <w:rPr>
          <w:rFonts w:hint="eastAsia" w:ascii="仿宋" w:hAnsi="仿宋" w:eastAsia="仿宋" w:cs="仿宋"/>
          <w:bCs/>
          <w:sz w:val="28"/>
          <w:szCs w:val="28"/>
        </w:rPr>
        <w:t>。</w:t>
      </w:r>
    </w:p>
    <w:p>
      <w:pPr>
        <w:tabs>
          <w:tab w:val="left" w:pos="540"/>
        </w:tabs>
        <w:adjustRightInd w:val="0"/>
        <w:snapToGrid w:val="0"/>
        <w:spacing w:line="600" w:lineRule="exact"/>
        <w:ind w:right="-181" w:rightChars="-86" w:firstLine="560" w:firstLineChars="200"/>
        <w:jc w:val="left"/>
        <w:rPr>
          <w:rFonts w:ascii="仿宋_GB2312" w:hAnsi="仿宋_GB2312" w:eastAsia="仿宋_GB2312" w:cs="仿宋_GB2312"/>
          <w:snapToGrid w:val="0"/>
          <w:sz w:val="28"/>
          <w:szCs w:val="28"/>
        </w:rPr>
      </w:pPr>
    </w:p>
    <w:p>
      <w:pPr>
        <w:spacing w:line="600" w:lineRule="exact"/>
        <w:ind w:firstLine="562" w:firstLineChars="200"/>
        <w:jc w:val="left"/>
        <w:outlineLvl w:val="1"/>
        <w:rPr>
          <w:rFonts w:ascii="宋体" w:hAnsi="宋体" w:eastAsia="宋体" w:cs="宋体"/>
          <w:b/>
          <w:sz w:val="28"/>
          <w:szCs w:val="28"/>
        </w:rPr>
      </w:pPr>
      <w:bookmarkStart w:id="10" w:name="_Toc419986982"/>
      <w:r>
        <w:rPr>
          <w:rFonts w:hint="eastAsia" w:ascii="宋体" w:hAnsi="宋体" w:eastAsia="宋体" w:cs="宋体"/>
          <w:b/>
          <w:sz w:val="28"/>
          <w:szCs w:val="28"/>
        </w:rPr>
        <w:t>三、招标范围及要求</w:t>
      </w:r>
      <w:bookmarkEnd w:id="10"/>
    </w:p>
    <w:p>
      <w:pPr>
        <w:widowControl/>
        <w:shd w:val="clear" w:color="auto" w:fill="FFFFFF"/>
        <w:spacing w:line="360" w:lineRule="auto"/>
        <w:ind w:firstLine="562" w:firstLineChars="200"/>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（一）项目概述</w:t>
      </w:r>
    </w:p>
    <w:p>
      <w:pPr>
        <w:widowControl/>
        <w:shd w:val="clear" w:color="auto" w:fill="FFFFFF"/>
        <w:spacing w:line="360" w:lineRule="auto"/>
        <w:ind w:firstLine="560" w:firstLineChars="200"/>
        <w:jc w:val="left"/>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何香凝美术馆举办</w:t>
      </w:r>
      <w:r>
        <w:rPr>
          <w:rFonts w:hint="eastAsia" w:ascii="仿宋" w:hAnsi="仿宋" w:eastAsia="仿宋" w:cs="仿宋"/>
          <w:sz w:val="28"/>
          <w:szCs w:val="28"/>
          <w:lang w:val="en-US" w:eastAsia="zh-CN"/>
        </w:rPr>
        <w:t>“何香凝与中国女子书画会：20世纪前半期女性艺术运动图景”展</w:t>
      </w:r>
      <w:r>
        <w:rPr>
          <w:rFonts w:hint="eastAsia" w:ascii="仿宋" w:hAnsi="仿宋" w:eastAsia="仿宋" w:cs="仿宋"/>
          <w:color w:val="000000"/>
          <w:sz w:val="28"/>
          <w:szCs w:val="28"/>
        </w:rPr>
        <w:t>，要求供应商完成展览</w:t>
      </w:r>
      <w:r>
        <w:rPr>
          <w:rFonts w:hint="eastAsia" w:ascii="仿宋" w:hAnsi="仿宋" w:eastAsia="仿宋" w:cs="仿宋"/>
          <w:color w:val="000000"/>
          <w:sz w:val="28"/>
          <w:szCs w:val="28"/>
          <w:lang w:val="en-US" w:eastAsia="zh-CN"/>
        </w:rPr>
        <w:t>期间的</w:t>
      </w:r>
      <w:r>
        <w:rPr>
          <w:rFonts w:hint="eastAsia" w:ascii="仿宋" w:hAnsi="仿宋" w:eastAsia="仿宋" w:cs="仿宋"/>
          <w:color w:val="000000"/>
          <w:sz w:val="28"/>
          <w:szCs w:val="28"/>
        </w:rPr>
        <w:t>文物</w:t>
      </w:r>
      <w:r>
        <w:rPr>
          <w:rFonts w:hint="eastAsia" w:ascii="仿宋" w:hAnsi="仿宋" w:eastAsia="仿宋" w:cs="仿宋"/>
          <w:color w:val="000000"/>
          <w:sz w:val="28"/>
          <w:szCs w:val="28"/>
          <w:lang w:val="en-US" w:eastAsia="zh-CN"/>
        </w:rPr>
        <w:t>运输（含运输保险、展期保险）。藏品借于何香凝美术馆、深圳博物馆、浙江省博物馆、上海中国画院，共藏品44件，藏品保险总估价6023万元。</w:t>
      </w:r>
      <w:r>
        <w:rPr>
          <w:rFonts w:hint="eastAsia" w:ascii="仿宋" w:hAnsi="仿宋" w:eastAsia="仿宋" w:cs="仿宋"/>
          <w:color w:val="000000"/>
          <w:sz w:val="28"/>
          <w:szCs w:val="28"/>
        </w:rPr>
        <w:t>展览地点</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广东美术馆</w:t>
      </w:r>
      <w:r>
        <w:rPr>
          <w:rFonts w:hint="eastAsia" w:ascii="仿宋" w:hAnsi="仿宋" w:eastAsia="仿宋" w:cs="仿宋"/>
          <w:color w:val="000000"/>
          <w:sz w:val="28"/>
          <w:szCs w:val="28"/>
        </w:rPr>
        <w:t>，展览时间</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20</w:t>
      </w:r>
      <w:r>
        <w:rPr>
          <w:rFonts w:hint="eastAsia" w:ascii="仿宋" w:hAnsi="仿宋" w:eastAsia="仿宋" w:cs="仿宋"/>
          <w:color w:val="000000"/>
          <w:sz w:val="28"/>
          <w:szCs w:val="28"/>
          <w:lang w:val="en-US"/>
        </w:rPr>
        <w:t>2</w:t>
      </w: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4月20日——2023年5月14日。</w:t>
      </w:r>
    </w:p>
    <w:p>
      <w:pPr>
        <w:spacing w:line="600" w:lineRule="exact"/>
        <w:ind w:firstLine="562" w:firstLineChars="200"/>
        <w:rPr>
          <w:rFonts w:ascii="仿宋_GB2312" w:hAnsi="仿宋_GB2312" w:eastAsia="仿宋_GB2312" w:cs="仿宋_GB2312"/>
          <w:b/>
          <w:sz w:val="28"/>
          <w:szCs w:val="28"/>
        </w:rPr>
      </w:pPr>
    </w:p>
    <w:p>
      <w:pPr>
        <w:tabs>
          <w:tab w:val="left" w:pos="540"/>
        </w:tabs>
        <w:adjustRightInd w:val="0"/>
        <w:snapToGrid w:val="0"/>
        <w:spacing w:line="600" w:lineRule="exact"/>
        <w:ind w:right="-181" w:rightChars="-86"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w:t>
      </w:r>
      <w:r>
        <w:rPr>
          <w:rFonts w:hint="eastAsia" w:ascii="仿宋_GB2312" w:hAnsi="仿宋_GB2312" w:eastAsia="仿宋_GB2312" w:cs="仿宋_GB2312"/>
          <w:b/>
          <w:sz w:val="28"/>
          <w:szCs w:val="28"/>
          <w:lang w:val="en-US" w:eastAsia="zh-CN"/>
        </w:rPr>
        <w:t>服务及</w:t>
      </w:r>
      <w:r>
        <w:rPr>
          <w:rFonts w:hint="eastAsia" w:ascii="仿宋_GB2312" w:hAnsi="仿宋_GB2312" w:eastAsia="仿宋_GB2312" w:cs="仿宋_GB2312"/>
          <w:b/>
          <w:sz w:val="28"/>
          <w:szCs w:val="28"/>
        </w:rPr>
        <w:t>技术条款要求</w:t>
      </w:r>
    </w:p>
    <w:p>
      <w:pPr>
        <w:spacing w:line="600" w:lineRule="exact"/>
        <w:ind w:firstLine="562" w:firstLineChars="200"/>
        <w:rPr>
          <w:rFonts w:ascii="仿宋_GB2312" w:hAnsi="仿宋_GB2312" w:eastAsia="仿宋_GB2312" w:cs="仿宋_GB2312"/>
          <w:b/>
          <w:sz w:val="28"/>
          <w:szCs w:val="28"/>
        </w:rPr>
      </w:pPr>
      <w:r>
        <w:rPr>
          <w:rFonts w:hint="eastAsia" w:ascii="Times New Roman" w:hAnsi="Times New Roman" w:eastAsia="仿宋_GB2312" w:cs="Times New Roman"/>
          <w:b/>
          <w:bCs/>
          <w:kern w:val="0"/>
          <w:sz w:val="28"/>
          <w:szCs w:val="28"/>
        </w:rPr>
        <w:t>1、</w:t>
      </w: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务内容</w:t>
      </w:r>
    </w:p>
    <w:p>
      <w:pPr>
        <w:spacing w:line="360" w:lineRule="auto"/>
        <w:ind w:firstLine="560" w:firstLineChars="200"/>
        <w:jc w:val="left"/>
        <w:rPr>
          <w:rFonts w:hint="default" w:ascii="仿宋" w:hAnsi="仿宋" w:eastAsia="仿宋" w:cs="仿宋"/>
          <w:color w:val="000000"/>
          <w:sz w:val="28"/>
          <w:szCs w:val="28"/>
          <w:lang w:val="en-US"/>
        </w:rPr>
      </w:pPr>
      <w:r>
        <w:rPr>
          <w:rFonts w:hint="eastAsia" w:ascii="仿宋" w:hAnsi="仿宋" w:eastAsia="仿宋" w:cs="仿宋"/>
          <w:color w:val="000000"/>
          <w:sz w:val="28"/>
          <w:szCs w:val="28"/>
          <w:lang w:val="en-US" w:eastAsia="zh-CN"/>
        </w:rPr>
        <w:t>运输路线由借出方到展览地点往返。</w:t>
      </w:r>
      <w:bookmarkStart w:id="19" w:name="_GoBack"/>
      <w:bookmarkEnd w:id="19"/>
      <w:r>
        <w:rPr>
          <w:rFonts w:hint="eastAsia" w:ascii="仿宋" w:hAnsi="仿宋" w:eastAsia="仿宋" w:cs="仿宋"/>
          <w:color w:val="000000"/>
          <w:sz w:val="28"/>
          <w:szCs w:val="28"/>
        </w:rPr>
        <w:t>为所有借展文物</w:t>
      </w:r>
      <w:r>
        <w:rPr>
          <w:rFonts w:hint="eastAsia" w:ascii="仿宋" w:hAnsi="仿宋" w:eastAsia="仿宋" w:cs="仿宋"/>
          <w:color w:val="000000"/>
          <w:sz w:val="28"/>
          <w:szCs w:val="28"/>
          <w:lang w:val="en-US" w:eastAsia="zh-CN"/>
        </w:rPr>
        <w:t>门到门</w:t>
      </w:r>
      <w:r>
        <w:rPr>
          <w:rFonts w:hint="eastAsia" w:ascii="仿宋" w:hAnsi="仿宋" w:eastAsia="仿宋" w:cs="仿宋"/>
          <w:color w:val="000000"/>
          <w:sz w:val="28"/>
          <w:szCs w:val="28"/>
        </w:rPr>
        <w:t>往返</w:t>
      </w:r>
      <w:r>
        <w:rPr>
          <w:rFonts w:hint="eastAsia" w:ascii="仿宋" w:hAnsi="仿宋" w:eastAsia="仿宋" w:cs="仿宋"/>
          <w:color w:val="000000"/>
          <w:sz w:val="28"/>
          <w:szCs w:val="28"/>
          <w:lang w:val="en-US" w:eastAsia="zh-CN"/>
        </w:rPr>
        <w:t>运输服务</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含运输保险、展期保险</w:t>
      </w:r>
      <w:r>
        <w:rPr>
          <w:rFonts w:hint="eastAsia" w:ascii="仿宋" w:hAnsi="仿宋" w:eastAsia="仿宋" w:cs="仿宋"/>
          <w:color w:val="000000"/>
          <w:sz w:val="28"/>
          <w:szCs w:val="28"/>
          <w:lang w:eastAsia="zh-CN"/>
        </w:rPr>
        <w:t>）。</w:t>
      </w:r>
    </w:p>
    <w:p>
      <w:pPr>
        <w:spacing w:line="600" w:lineRule="exact"/>
        <w:ind w:firstLine="562" w:firstLineChars="200"/>
        <w:rPr>
          <w:rFonts w:hint="eastAsia" w:ascii="Times New Roman" w:hAnsi="Times New Roman" w:eastAsia="仿宋_GB2312" w:cs="Times New Roman"/>
          <w:b/>
          <w:bCs/>
          <w:kern w:val="0"/>
          <w:sz w:val="28"/>
          <w:szCs w:val="28"/>
          <w:lang w:val="en-US" w:eastAsia="zh-CN"/>
        </w:rPr>
      </w:pPr>
      <w:r>
        <w:rPr>
          <w:rFonts w:hint="eastAsia" w:ascii="Times New Roman" w:hAnsi="Times New Roman" w:eastAsia="仿宋_GB2312" w:cs="Times New Roman"/>
          <w:b/>
          <w:bCs/>
          <w:kern w:val="0"/>
          <w:sz w:val="28"/>
          <w:szCs w:val="28"/>
          <w:lang w:val="en-US" w:eastAsia="zh-CN"/>
        </w:rPr>
        <w:t>2、技术条款要求</w:t>
      </w:r>
    </w:p>
    <w:p>
      <w:pPr>
        <w:spacing w:line="360" w:lineRule="auto"/>
        <w:ind w:firstLine="560" w:firstLineChars="200"/>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承诺可以按时保质完成相关展品包装、运输工作，并配备好相应人员。</w:t>
      </w:r>
    </w:p>
    <w:p>
      <w:pPr>
        <w:spacing w:line="360" w:lineRule="auto"/>
        <w:ind w:firstLine="560" w:firstLineChars="200"/>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承诺对于采购人（何香凝美术馆）指派的任务，可以无条件的完全响应，保证项目的顺利完成，不因项目的大小而拒绝接受工作。</w:t>
      </w:r>
    </w:p>
    <w:p>
      <w:pPr>
        <w:spacing w:line="360" w:lineRule="auto"/>
        <w:ind w:firstLine="560" w:firstLineChars="200"/>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承诺在项目操作过程中，严格按照专业标准安全实施操作。杜绝非专业人员、非专业设备介入项目操作。杜绝与非采购人项目共用项目资源，包括人员、车辆以及临时存储库房。</w:t>
      </w:r>
    </w:p>
    <w:p>
      <w:pPr>
        <w:spacing w:line="360" w:lineRule="auto"/>
        <w:ind w:firstLine="560" w:firstLineChars="200"/>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保证使用专业展品运输车辆，配备避震、车内消防设备、GPS定位及防盗功能，GPS功能向何香凝美术馆负责人开放查看权限。</w:t>
      </w:r>
    </w:p>
    <w:p>
      <w:pPr>
        <w:spacing w:line="360" w:lineRule="auto"/>
        <w:ind w:firstLine="560" w:firstLineChars="200"/>
        <w:jc w:val="left"/>
        <w:rPr>
          <w:rFonts w:hint="eastAsia" w:ascii="仿宋" w:hAnsi="仿宋" w:eastAsia="仿宋" w:cs="仿宋"/>
          <w:color w:val="000000"/>
          <w:sz w:val="28"/>
          <w:szCs w:val="28"/>
          <w:lang w:eastAsia="zh-CN"/>
        </w:rPr>
      </w:pPr>
    </w:p>
    <w:p>
      <w:pPr>
        <w:numPr>
          <w:ilvl w:val="0"/>
          <w:numId w:val="2"/>
        </w:numPr>
        <w:spacing w:line="600" w:lineRule="exact"/>
        <w:ind w:firstLine="562" w:firstLineChars="200"/>
        <w:rPr>
          <w:rFonts w:ascii="宋体" w:hAnsi="宋体" w:eastAsia="宋体" w:cs="宋体"/>
          <w:b/>
          <w:sz w:val="28"/>
          <w:szCs w:val="28"/>
        </w:rPr>
      </w:pPr>
      <w:r>
        <w:rPr>
          <w:rFonts w:hint="eastAsia" w:ascii="宋体" w:hAnsi="宋体" w:eastAsia="宋体" w:cs="宋体"/>
          <w:b/>
          <w:sz w:val="28"/>
          <w:szCs w:val="28"/>
          <w:lang w:val="en-US" w:eastAsia="zh-CN"/>
        </w:rPr>
        <w:t>运输服务（含运输、展期保险）报价</w:t>
      </w:r>
      <w:r>
        <w:rPr>
          <w:rFonts w:hint="eastAsia" w:ascii="宋体" w:hAnsi="宋体" w:eastAsia="宋体" w:cs="宋体"/>
          <w:b/>
          <w:sz w:val="28"/>
          <w:szCs w:val="28"/>
        </w:rPr>
        <w:t>表</w:t>
      </w:r>
    </w:p>
    <w:p>
      <w:pPr>
        <w:pStyle w:val="3"/>
        <w:widowControl/>
        <w:spacing w:beforeAutospacing="0" w:afterAutospacing="0" w:line="360" w:lineRule="auto"/>
        <w:ind w:firstLine="420"/>
        <w:rPr>
          <w:rFonts w:ascii="仿宋_GB2312" w:hAnsi="仿宋_GB2312" w:eastAsia="仿宋_GB2312" w:cs="仿宋_GB2312"/>
          <w:b/>
          <w:sz w:val="28"/>
          <w:szCs w:val="28"/>
          <w:u w:val="single"/>
        </w:rPr>
      </w:pPr>
      <w:r>
        <w:rPr>
          <w:rFonts w:hint="eastAsia" w:ascii="仿宋_GB2312" w:hAnsi="仿宋_GB2312" w:eastAsia="仿宋_GB2312" w:cs="仿宋_GB2312"/>
          <w:b/>
          <w:sz w:val="28"/>
          <w:szCs w:val="28"/>
          <w:u w:val="single"/>
        </w:rPr>
        <w:t>投标人应按以下清单逐项报单价.</w:t>
      </w:r>
    </w:p>
    <w:tbl>
      <w:tblPr>
        <w:tblStyle w:val="4"/>
        <w:tblW w:w="14580" w:type="dxa"/>
        <w:tblInd w:w="93" w:type="dxa"/>
        <w:tblLayout w:type="fixed"/>
        <w:tblCellMar>
          <w:top w:w="0" w:type="dxa"/>
          <w:left w:w="108" w:type="dxa"/>
          <w:bottom w:w="0" w:type="dxa"/>
          <w:right w:w="108" w:type="dxa"/>
        </w:tblCellMar>
      </w:tblPr>
      <w:tblGrid>
        <w:gridCol w:w="14580"/>
      </w:tblGrid>
      <w:tr>
        <w:tblPrEx>
          <w:tblCellMar>
            <w:top w:w="0" w:type="dxa"/>
            <w:left w:w="108" w:type="dxa"/>
            <w:bottom w:w="0" w:type="dxa"/>
            <w:right w:w="108" w:type="dxa"/>
          </w:tblCellMar>
        </w:tblPrEx>
        <w:trPr>
          <w:trHeight w:val="462" w:hRule="atLeast"/>
        </w:trPr>
        <w:tc>
          <w:tcPr>
            <w:tcW w:w="14580" w:type="dxa"/>
            <w:tcBorders>
              <w:top w:val="nil"/>
              <w:left w:val="nil"/>
              <w:bottom w:val="nil"/>
              <w:right w:val="nil"/>
            </w:tcBorders>
            <w:shd w:val="clear" w:color="auto" w:fill="auto"/>
            <w:noWrap/>
            <w:vAlign w:val="center"/>
          </w:tcPr>
          <w:p>
            <w:pPr>
              <w:widowControl/>
              <w:jc w:val="left"/>
              <w:rPr>
                <w:rFonts w:ascii="楷体_GB2312" w:hAnsi="宋体" w:eastAsia="楷体_GB2312" w:cs="宋体"/>
                <w:kern w:val="0"/>
                <w:sz w:val="22"/>
                <w:szCs w:val="22"/>
              </w:rPr>
            </w:pPr>
            <w:r>
              <w:rPr>
                <w:rFonts w:hint="eastAsia" w:ascii="楷体_GB2312" w:hAnsi="宋体" w:eastAsia="楷体_GB2312" w:cs="宋体"/>
                <w:kern w:val="0"/>
                <w:sz w:val="22"/>
                <w:szCs w:val="22"/>
              </w:rPr>
              <w:t xml:space="preserve">           </w:t>
            </w:r>
          </w:p>
          <w:tbl>
            <w:tblPr>
              <w:tblStyle w:val="4"/>
              <w:tblW w:w="9940" w:type="dxa"/>
              <w:tblInd w:w="0" w:type="dxa"/>
              <w:tblLayout w:type="fixed"/>
              <w:tblCellMar>
                <w:top w:w="0" w:type="dxa"/>
                <w:left w:w="108" w:type="dxa"/>
                <w:bottom w:w="0" w:type="dxa"/>
                <w:right w:w="108" w:type="dxa"/>
              </w:tblCellMar>
            </w:tblPr>
            <w:tblGrid>
              <w:gridCol w:w="821"/>
              <w:gridCol w:w="2230"/>
              <w:gridCol w:w="1012"/>
              <w:gridCol w:w="870"/>
              <w:gridCol w:w="1427"/>
              <w:gridCol w:w="1169"/>
              <w:gridCol w:w="1409"/>
              <w:gridCol w:w="1002"/>
            </w:tblGrid>
            <w:tr>
              <w:tblPrEx>
                <w:tblCellMar>
                  <w:top w:w="0" w:type="dxa"/>
                  <w:left w:w="108" w:type="dxa"/>
                  <w:bottom w:w="0" w:type="dxa"/>
                  <w:right w:w="108" w:type="dxa"/>
                </w:tblCellMar>
              </w:tblPrEx>
              <w:trPr>
                <w:trHeight w:val="692" w:hRule="atLeast"/>
              </w:trPr>
              <w:tc>
                <w:tcPr>
                  <w:tcW w:w="9940" w:type="dxa"/>
                  <w:gridSpan w:val="8"/>
                  <w:tcBorders>
                    <w:top w:val="nil"/>
                    <w:left w:val="nil"/>
                    <w:bottom w:val="nil"/>
                    <w:right w:val="nil"/>
                  </w:tcBorders>
                  <w:shd w:val="clear" w:color="auto" w:fill="auto"/>
                  <w:noWrap/>
                  <w:vAlign w:val="center"/>
                </w:tcPr>
                <w:p>
                  <w:pPr>
                    <w:widowControl/>
                    <w:jc w:val="center"/>
                    <w:rPr>
                      <w:rFonts w:ascii="楷体_GB2312" w:hAnsi="宋体" w:eastAsia="楷体_GB2312" w:cs="宋体"/>
                      <w:b/>
                      <w:bCs/>
                      <w:kern w:val="0"/>
                      <w:sz w:val="44"/>
                      <w:szCs w:val="44"/>
                    </w:rPr>
                  </w:pPr>
                  <w:r>
                    <w:rPr>
                      <w:rFonts w:hint="eastAsia" w:ascii="宋体" w:hAnsi="宋体" w:eastAsia="宋体" w:cs="宋体"/>
                      <w:b/>
                      <w:sz w:val="44"/>
                      <w:szCs w:val="44"/>
                      <w:lang w:val="en-US" w:eastAsia="zh-CN"/>
                    </w:rPr>
                    <w:t>运输服务（含运输、展期保险）</w:t>
                  </w:r>
                  <w:r>
                    <w:rPr>
                      <w:rFonts w:hint="eastAsia" w:ascii="楷体_GB2312" w:hAnsi="宋体" w:eastAsia="楷体_GB2312" w:cs="宋体"/>
                      <w:b/>
                      <w:bCs/>
                      <w:kern w:val="0"/>
                      <w:sz w:val="44"/>
                      <w:szCs w:val="44"/>
                    </w:rPr>
                    <w:t>报价表</w:t>
                  </w:r>
                </w:p>
              </w:tc>
            </w:tr>
            <w:tr>
              <w:tblPrEx>
                <w:tblCellMar>
                  <w:top w:w="0" w:type="dxa"/>
                  <w:left w:w="108" w:type="dxa"/>
                  <w:bottom w:w="0" w:type="dxa"/>
                  <w:right w:w="108" w:type="dxa"/>
                </w:tblCellMar>
              </w:tblPrEx>
              <w:trPr>
                <w:trHeight w:val="463" w:hRule="atLeast"/>
              </w:trPr>
              <w:tc>
                <w:tcPr>
                  <w:tcW w:w="9940" w:type="dxa"/>
                  <w:gridSpan w:val="8"/>
                  <w:tcBorders>
                    <w:top w:val="nil"/>
                    <w:left w:val="nil"/>
                    <w:bottom w:val="nil"/>
                    <w:right w:val="nil"/>
                  </w:tcBorders>
                  <w:shd w:val="clear" w:color="auto" w:fill="auto"/>
                  <w:noWrap/>
                  <w:vAlign w:val="center"/>
                </w:tcPr>
                <w:p>
                  <w:pPr>
                    <w:widowControl/>
                    <w:jc w:val="center"/>
                    <w:rPr>
                      <w:rFonts w:ascii="楷体_GB2312" w:hAnsi="宋体" w:eastAsia="楷体_GB2312" w:cs="宋体"/>
                      <w:kern w:val="0"/>
                      <w:sz w:val="22"/>
                      <w:szCs w:val="22"/>
                    </w:rPr>
                  </w:pPr>
                </w:p>
              </w:tc>
            </w:tr>
            <w:tr>
              <w:tblPrEx>
                <w:tblCellMar>
                  <w:top w:w="0" w:type="dxa"/>
                  <w:left w:w="108" w:type="dxa"/>
                  <w:bottom w:w="0" w:type="dxa"/>
                  <w:right w:w="108" w:type="dxa"/>
                </w:tblCellMar>
              </w:tblPrEx>
              <w:trPr>
                <w:gridAfter w:val="1"/>
                <w:wAfter w:w="1002" w:type="dxa"/>
                <w:trHeight w:val="995" w:hRule="atLeast"/>
              </w:trPr>
              <w:tc>
                <w:tcPr>
                  <w:tcW w:w="8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序号</w:t>
                  </w:r>
                </w:p>
              </w:tc>
              <w:tc>
                <w:tcPr>
                  <w:tcW w:w="2230"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分部分项工程名称</w:t>
                  </w:r>
                </w:p>
              </w:tc>
              <w:tc>
                <w:tcPr>
                  <w:tcW w:w="1012"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数量</w:t>
                  </w:r>
                </w:p>
              </w:tc>
              <w:tc>
                <w:tcPr>
                  <w:tcW w:w="870"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单位</w:t>
                  </w:r>
                </w:p>
              </w:tc>
              <w:tc>
                <w:tcPr>
                  <w:tcW w:w="1427"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hint="default" w:ascii="仿宋" w:hAnsi="仿宋" w:eastAsia="仿宋" w:cs="仿宋"/>
                      <w:b/>
                      <w:bCs/>
                      <w:kern w:val="0"/>
                      <w:sz w:val="24"/>
                      <w:lang w:val="en-US"/>
                    </w:rPr>
                  </w:pPr>
                  <w:r>
                    <w:rPr>
                      <w:rFonts w:hint="eastAsia" w:ascii="仿宋" w:hAnsi="仿宋" w:eastAsia="仿宋" w:cs="仿宋"/>
                      <w:b/>
                      <w:color w:val="000000"/>
                      <w:kern w:val="0"/>
                      <w:sz w:val="24"/>
                      <w:lang w:val="en-US" w:eastAsia="zh-CN"/>
                    </w:rPr>
                    <w:t>运输服务费</w:t>
                  </w:r>
                </w:p>
              </w:tc>
              <w:tc>
                <w:tcPr>
                  <w:tcW w:w="1169"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hint="eastAsia" w:ascii="仿宋" w:hAnsi="仿宋" w:eastAsia="仿宋" w:cs="仿宋"/>
                      <w:b/>
                      <w:bCs/>
                      <w:kern w:val="0"/>
                      <w:sz w:val="24"/>
                      <w:lang w:val="en-US" w:eastAsia="zh-CN"/>
                    </w:rPr>
                  </w:pPr>
                  <w:r>
                    <w:rPr>
                      <w:rFonts w:hint="eastAsia" w:ascii="仿宋" w:hAnsi="仿宋" w:eastAsia="仿宋" w:cs="仿宋"/>
                      <w:b/>
                      <w:color w:val="000000"/>
                      <w:kern w:val="0"/>
                      <w:sz w:val="24"/>
                      <w:lang w:val="en-US" w:eastAsia="zh-CN"/>
                    </w:rPr>
                    <w:t>总保</w:t>
                  </w:r>
                  <w:r>
                    <w:rPr>
                      <w:rFonts w:hint="eastAsia" w:ascii="仿宋" w:hAnsi="仿宋" w:eastAsia="仿宋" w:cs="仿宋"/>
                      <w:b/>
                      <w:color w:val="000000"/>
                      <w:kern w:val="0"/>
                      <w:sz w:val="24"/>
                    </w:rPr>
                    <w:t>价</w:t>
                  </w:r>
                </w:p>
              </w:tc>
              <w:tc>
                <w:tcPr>
                  <w:tcW w:w="1409"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工艺及材料说明</w:t>
                  </w:r>
                </w:p>
              </w:tc>
            </w:tr>
            <w:tr>
              <w:tblPrEx>
                <w:tblCellMar>
                  <w:top w:w="0" w:type="dxa"/>
                  <w:left w:w="108" w:type="dxa"/>
                  <w:bottom w:w="0" w:type="dxa"/>
                  <w:right w:w="108" w:type="dxa"/>
                </w:tblCellMar>
              </w:tblPrEx>
              <w:trPr>
                <w:gridAfter w:val="1"/>
                <w:wAfter w:w="1002" w:type="dxa"/>
                <w:trHeight w:val="490" w:hRule="atLeast"/>
              </w:trPr>
              <w:tc>
                <w:tcPr>
                  <w:tcW w:w="8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仿宋" w:hAnsi="仿宋" w:eastAsia="仿宋" w:cs="仿宋"/>
                      <w:b/>
                      <w:color w:val="000000"/>
                      <w:kern w:val="0"/>
                      <w:sz w:val="24"/>
                    </w:rPr>
                  </w:pPr>
                  <w:r>
                    <w:rPr>
                      <w:rFonts w:hint="eastAsia" w:ascii="仿宋" w:hAnsi="仿宋" w:eastAsia="仿宋" w:cs="仿宋"/>
                      <w:b/>
                      <w:color w:val="000000"/>
                      <w:kern w:val="0"/>
                      <w:sz w:val="24"/>
                    </w:rPr>
                    <w:t>一</w:t>
                  </w:r>
                </w:p>
              </w:tc>
              <w:tc>
                <w:tcPr>
                  <w:tcW w:w="2230"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hint="default" w:ascii="仿宋" w:hAnsi="仿宋" w:eastAsia="仿宋" w:cs="仿宋"/>
                      <w:b/>
                      <w:color w:val="000000"/>
                      <w:kern w:val="0"/>
                      <w:sz w:val="24"/>
                      <w:lang w:val="en-US" w:eastAsia="zh-CN"/>
                    </w:rPr>
                  </w:pPr>
                  <w:r>
                    <w:rPr>
                      <w:rFonts w:hint="eastAsia" w:ascii="仿宋" w:hAnsi="仿宋" w:eastAsia="仿宋" w:cs="仿宋"/>
                      <w:b/>
                      <w:color w:val="000000"/>
                      <w:kern w:val="0"/>
                      <w:sz w:val="24"/>
                      <w:lang w:val="en-US" w:eastAsia="zh-CN"/>
                    </w:rPr>
                    <w:t>借展藏品（以清单为准）</w:t>
                  </w:r>
                </w:p>
              </w:tc>
              <w:tc>
                <w:tcPr>
                  <w:tcW w:w="1012"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hint="default" w:ascii="仿宋" w:hAnsi="仿宋" w:eastAsia="仿宋" w:cs="仿宋"/>
                      <w:b/>
                      <w:color w:val="000000"/>
                      <w:kern w:val="0"/>
                      <w:sz w:val="24"/>
                      <w:lang w:val="en-US" w:eastAsia="zh-CN"/>
                    </w:rPr>
                  </w:pPr>
                  <w:r>
                    <w:rPr>
                      <w:rFonts w:hint="eastAsia" w:ascii="仿宋" w:hAnsi="仿宋" w:eastAsia="仿宋" w:cs="仿宋"/>
                      <w:b/>
                      <w:color w:val="000000"/>
                      <w:kern w:val="0"/>
                      <w:sz w:val="24"/>
                      <w:lang w:val="en-US" w:eastAsia="zh-CN"/>
                    </w:rPr>
                    <w:t>44</w:t>
                  </w:r>
                </w:p>
              </w:tc>
              <w:tc>
                <w:tcPr>
                  <w:tcW w:w="870"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hint="default" w:ascii="仿宋" w:hAnsi="仿宋" w:eastAsia="仿宋" w:cs="仿宋"/>
                      <w:b/>
                      <w:color w:val="000000"/>
                      <w:kern w:val="0"/>
                      <w:sz w:val="24"/>
                      <w:lang w:val="en-US" w:eastAsia="zh-CN"/>
                    </w:rPr>
                  </w:pPr>
                  <w:r>
                    <w:rPr>
                      <w:rFonts w:hint="eastAsia" w:ascii="仿宋" w:hAnsi="仿宋" w:eastAsia="仿宋" w:cs="仿宋"/>
                      <w:b/>
                      <w:color w:val="000000"/>
                      <w:kern w:val="0"/>
                      <w:sz w:val="24"/>
                      <w:lang w:val="en-US" w:eastAsia="zh-CN"/>
                    </w:rPr>
                    <w:t>件</w:t>
                  </w:r>
                </w:p>
              </w:tc>
              <w:tc>
                <w:tcPr>
                  <w:tcW w:w="1427"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color w:val="000000"/>
                      <w:kern w:val="0"/>
                      <w:sz w:val="24"/>
                    </w:rPr>
                  </w:pPr>
                </w:p>
              </w:tc>
              <w:tc>
                <w:tcPr>
                  <w:tcW w:w="1169"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color w:val="000000"/>
                      <w:kern w:val="0"/>
                      <w:sz w:val="24"/>
                      <w:szCs w:val="24"/>
                      <w:lang w:val="en-US" w:eastAsia="zh-CN" w:bidi="ar-SA"/>
                    </w:rPr>
                  </w:pPr>
                  <w:r>
                    <w:rPr>
                      <w:rFonts w:hint="eastAsia" w:ascii="仿宋" w:hAnsi="仿宋" w:eastAsia="仿宋" w:cs="仿宋"/>
                      <w:color w:val="000000"/>
                      <w:sz w:val="28"/>
                      <w:szCs w:val="28"/>
                      <w:lang w:val="en-US" w:eastAsia="zh-CN"/>
                    </w:rPr>
                    <w:t>6023</w:t>
                  </w:r>
                  <w:r>
                    <w:rPr>
                      <w:rFonts w:hint="eastAsia"/>
                      <w:b/>
                      <w:bCs/>
                    </w:rPr>
                    <w:t>万</w:t>
                  </w:r>
                </w:p>
              </w:tc>
              <w:tc>
                <w:tcPr>
                  <w:tcW w:w="1409"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color w:val="000000"/>
                      <w:kern w:val="0"/>
                      <w:sz w:val="24"/>
                    </w:rPr>
                  </w:pPr>
                </w:p>
              </w:tc>
            </w:tr>
            <w:tr>
              <w:tblPrEx>
                <w:tblCellMar>
                  <w:top w:w="0" w:type="dxa"/>
                  <w:left w:w="108" w:type="dxa"/>
                  <w:bottom w:w="0" w:type="dxa"/>
                  <w:right w:w="108" w:type="dxa"/>
                </w:tblCellMar>
              </w:tblPrEx>
              <w:trPr>
                <w:gridAfter w:val="1"/>
                <w:wAfter w:w="1002" w:type="dxa"/>
                <w:trHeight w:val="504" w:hRule="atLeast"/>
              </w:trPr>
              <w:tc>
                <w:tcPr>
                  <w:tcW w:w="821" w:type="dxa"/>
                  <w:tcBorders>
                    <w:top w:val="nil"/>
                    <w:left w:val="single" w:color="auto" w:sz="4" w:space="0"/>
                    <w:bottom w:val="single" w:color="auto" w:sz="4" w:space="0"/>
                    <w:right w:val="single" w:color="auto" w:sz="4" w:space="0"/>
                  </w:tcBorders>
                  <w:shd w:val="clear" w:color="auto" w:fill="auto"/>
                  <w:noWrap/>
                  <w:vAlign w:val="center"/>
                </w:tcPr>
                <w:p>
                  <w:pPr>
                    <w:rPr>
                      <w:rFonts w:ascii="仿宋" w:hAnsi="仿宋" w:eastAsia="仿宋" w:cs="仿宋"/>
                      <w:b/>
                      <w:bCs/>
                      <w:kern w:val="0"/>
                      <w:sz w:val="24"/>
                    </w:rPr>
                  </w:pPr>
                </w:p>
              </w:tc>
              <w:tc>
                <w:tcPr>
                  <w:tcW w:w="2230" w:type="dxa"/>
                  <w:tcBorders>
                    <w:top w:val="nil"/>
                    <w:left w:val="nil"/>
                    <w:bottom w:val="single" w:color="auto" w:sz="4" w:space="0"/>
                    <w:right w:val="single" w:color="auto" w:sz="4" w:space="0"/>
                  </w:tcBorders>
                  <w:shd w:val="clear" w:color="000000" w:fill="FFFFFF"/>
                  <w:vAlign w:val="center"/>
                </w:tcPr>
                <w:p>
                  <w:pPr>
                    <w:rPr>
                      <w:rFonts w:hint="default" w:ascii="仿宋" w:hAnsi="仿宋" w:eastAsia="仿宋" w:cs="仿宋"/>
                      <w:b/>
                      <w:bCs/>
                      <w:kern w:val="0"/>
                      <w:sz w:val="24"/>
                      <w:lang w:val="en-US" w:eastAsia="zh-CN"/>
                    </w:rPr>
                  </w:pPr>
                </w:p>
              </w:tc>
              <w:tc>
                <w:tcPr>
                  <w:tcW w:w="1012" w:type="dxa"/>
                  <w:tcBorders>
                    <w:top w:val="nil"/>
                    <w:left w:val="nil"/>
                    <w:bottom w:val="single" w:color="auto" w:sz="4" w:space="0"/>
                    <w:right w:val="single" w:color="auto" w:sz="4" w:space="0"/>
                  </w:tcBorders>
                  <w:shd w:val="clear" w:color="000000" w:fill="FFFFFF"/>
                  <w:vAlign w:val="center"/>
                </w:tcPr>
                <w:p>
                  <w:pPr>
                    <w:rPr>
                      <w:rFonts w:hint="default" w:ascii="仿宋" w:hAnsi="仿宋" w:eastAsia="仿宋" w:cs="仿宋"/>
                      <w:kern w:val="0"/>
                      <w:sz w:val="24"/>
                      <w:lang w:val="en-US" w:eastAsia="zh-CN"/>
                    </w:rPr>
                  </w:pPr>
                </w:p>
              </w:tc>
              <w:tc>
                <w:tcPr>
                  <w:tcW w:w="870" w:type="dxa"/>
                  <w:tcBorders>
                    <w:top w:val="nil"/>
                    <w:left w:val="nil"/>
                    <w:bottom w:val="single" w:color="auto" w:sz="4" w:space="0"/>
                    <w:right w:val="single" w:color="auto" w:sz="4" w:space="0"/>
                  </w:tcBorders>
                  <w:shd w:val="clear" w:color="000000" w:fill="FFFFFF"/>
                  <w:vAlign w:val="center"/>
                </w:tcPr>
                <w:p>
                  <w:pPr>
                    <w:rPr>
                      <w:rFonts w:hint="eastAsia" w:ascii="仿宋" w:hAnsi="仿宋" w:eastAsia="仿宋" w:cs="仿宋"/>
                      <w:kern w:val="0"/>
                      <w:sz w:val="24"/>
                      <w:lang w:val="en-US" w:eastAsia="zh-CN"/>
                    </w:rPr>
                  </w:pPr>
                </w:p>
              </w:tc>
              <w:tc>
                <w:tcPr>
                  <w:tcW w:w="1427" w:type="dxa"/>
                  <w:tcBorders>
                    <w:top w:val="nil"/>
                    <w:left w:val="nil"/>
                    <w:bottom w:val="single" w:color="auto" w:sz="4" w:space="0"/>
                    <w:right w:val="single" w:color="auto" w:sz="4" w:space="0"/>
                  </w:tcBorders>
                  <w:shd w:val="clear" w:color="000000" w:fill="FFFFFF"/>
                  <w:vAlign w:val="center"/>
                </w:tcPr>
                <w:p>
                  <w:pPr>
                    <w:rPr>
                      <w:rFonts w:ascii="仿宋" w:hAnsi="仿宋" w:eastAsia="仿宋" w:cs="仿宋"/>
                      <w:kern w:val="0"/>
                      <w:sz w:val="24"/>
                    </w:rPr>
                  </w:pPr>
                </w:p>
              </w:tc>
              <w:tc>
                <w:tcPr>
                  <w:tcW w:w="1169"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c>
                <w:tcPr>
                  <w:tcW w:w="1409" w:type="dxa"/>
                  <w:tcBorders>
                    <w:top w:val="nil"/>
                    <w:left w:val="nil"/>
                    <w:bottom w:val="single" w:color="auto" w:sz="4" w:space="0"/>
                    <w:right w:val="single" w:color="auto" w:sz="4" w:space="0"/>
                  </w:tcBorders>
                  <w:shd w:val="clear" w:color="auto" w:fill="auto"/>
                  <w:noWrap/>
                  <w:vAlign w:val="center"/>
                </w:tcPr>
                <w:p>
                  <w:pPr>
                    <w:rPr>
                      <w:rFonts w:ascii="仿宋" w:hAnsi="仿宋" w:eastAsia="仿宋" w:cs="仿宋"/>
                      <w:kern w:val="0"/>
                      <w:sz w:val="24"/>
                    </w:rPr>
                  </w:pPr>
                </w:p>
              </w:tc>
            </w:tr>
          </w:tbl>
          <w:p>
            <w:pPr>
              <w:widowControl/>
              <w:jc w:val="center"/>
              <w:rPr>
                <w:rFonts w:ascii="楷体_GB2312" w:hAnsi="宋体" w:eastAsia="楷体_GB2312" w:cs="宋体"/>
                <w:kern w:val="0"/>
                <w:sz w:val="22"/>
                <w:szCs w:val="22"/>
              </w:rPr>
            </w:pPr>
          </w:p>
        </w:tc>
      </w:tr>
    </w:tbl>
    <w:p>
      <w:pPr>
        <w:spacing w:line="600" w:lineRule="exact"/>
        <w:rPr>
          <w:rFonts w:ascii="仿宋_GB2312" w:hAnsi="仿宋_GB2312" w:eastAsia="仿宋_GB2312" w:cs="仿宋_GB2312"/>
          <w:b/>
          <w:sz w:val="28"/>
          <w:szCs w:val="28"/>
          <w:u w:val="single"/>
        </w:rPr>
      </w:pPr>
    </w:p>
    <w:p>
      <w:pPr>
        <w:spacing w:line="600" w:lineRule="exact"/>
        <w:ind w:firstLine="562" w:firstLineChars="200"/>
        <w:outlineLvl w:val="1"/>
        <w:rPr>
          <w:rFonts w:ascii="宋体" w:hAnsi="宋体" w:eastAsia="宋体" w:cs="宋体"/>
          <w:b/>
          <w:sz w:val="28"/>
          <w:szCs w:val="28"/>
        </w:rPr>
      </w:pPr>
      <w:bookmarkStart w:id="11" w:name="_Toc419986983"/>
      <w:r>
        <w:rPr>
          <w:rFonts w:hint="eastAsia" w:ascii="宋体" w:hAnsi="宋体" w:eastAsia="宋体" w:cs="宋体"/>
          <w:b/>
          <w:sz w:val="28"/>
          <w:szCs w:val="28"/>
        </w:rPr>
        <w:t>四、商务要求</w:t>
      </w:r>
      <w:bookmarkEnd w:id="11"/>
    </w:p>
    <w:p>
      <w:pPr>
        <w:spacing w:line="600" w:lineRule="exact"/>
        <w:ind w:firstLine="562" w:firstLineChars="200"/>
        <w:outlineLvl w:val="1"/>
        <w:rPr>
          <w:rFonts w:ascii="仿宋_GB2312" w:hAnsi="仿宋_GB2312" w:eastAsia="仿宋_GB2312" w:cs="仿宋_GB2312"/>
          <w:b/>
          <w:sz w:val="28"/>
          <w:szCs w:val="28"/>
        </w:rPr>
      </w:pPr>
      <w:bookmarkStart w:id="12" w:name="_Toc419986864"/>
      <w:bookmarkStart w:id="13" w:name="_Toc419986984"/>
      <w:r>
        <w:rPr>
          <w:rFonts w:hint="eastAsia" w:ascii="仿宋_GB2312" w:hAnsi="仿宋_GB2312" w:eastAsia="仿宋_GB2312" w:cs="仿宋_GB2312"/>
          <w:b/>
          <w:sz w:val="28"/>
          <w:szCs w:val="28"/>
        </w:rPr>
        <w:t>（一）服务地点与时间</w:t>
      </w:r>
      <w:bookmarkEnd w:id="12"/>
      <w:bookmarkEnd w:id="13"/>
    </w:p>
    <w:p>
      <w:pPr>
        <w:spacing w:line="600" w:lineRule="exact"/>
        <w:ind w:left="1130" w:leftChars="337" w:hanging="422" w:hangingChars="151"/>
        <w:rPr>
          <w:rFonts w:hint="default" w:ascii="仿宋_GB2312" w:hAnsi="仿宋_GB2312" w:eastAsia="仿宋_GB2312" w:cs="仿宋_GB2312"/>
          <w:sz w:val="28"/>
          <w:szCs w:val="28"/>
          <w:lang w:val="en-US" w:eastAsia="zh-CN"/>
        </w:rPr>
      </w:pPr>
      <w:bookmarkStart w:id="14" w:name="_Toc419986985"/>
      <w:r>
        <w:rPr>
          <w:rFonts w:hint="eastAsia" w:ascii="Times New Roman" w:hAnsi="Times New Roman" w:eastAsia="仿宋_GB2312" w:cs="Times New Roman"/>
          <w:kern w:val="0"/>
          <w:sz w:val="28"/>
          <w:szCs w:val="28"/>
        </w:rPr>
        <w:t>1、</w:t>
      </w:r>
      <w:r>
        <w:rPr>
          <w:rFonts w:hint="eastAsia" w:ascii="仿宋_GB2312" w:hAnsi="仿宋_GB2312" w:eastAsia="仿宋_GB2312" w:cs="仿宋_GB2312"/>
          <w:sz w:val="28"/>
          <w:szCs w:val="28"/>
        </w:rPr>
        <w:t>服务地点：</w:t>
      </w:r>
      <w:bookmarkEnd w:id="14"/>
      <w:r>
        <w:rPr>
          <w:rFonts w:hint="eastAsia" w:ascii="仿宋_GB2312" w:hAnsi="仿宋_GB2312" w:eastAsia="仿宋_GB2312" w:cs="仿宋_GB2312"/>
          <w:sz w:val="28"/>
          <w:szCs w:val="28"/>
          <w:lang w:val="en-US" w:eastAsia="zh-CN"/>
        </w:rPr>
        <w:t>按</w:t>
      </w:r>
      <w:r>
        <w:rPr>
          <w:rFonts w:hint="eastAsia" w:ascii="仿宋_GB2312" w:hAnsi="仿宋_GB2312" w:eastAsia="仿宋_GB2312" w:cs="仿宋_GB2312"/>
          <w:sz w:val="28"/>
          <w:szCs w:val="28"/>
        </w:rPr>
        <w:t>合同签订</w:t>
      </w:r>
    </w:p>
    <w:p>
      <w:pPr>
        <w:spacing w:line="600" w:lineRule="exact"/>
        <w:ind w:left="1130" w:leftChars="337" w:hanging="422" w:hangingChars="151"/>
        <w:rPr>
          <w:rFonts w:ascii="仿宋_GB2312" w:hAnsi="仿宋_GB2312" w:eastAsia="仿宋_GB2312" w:cs="仿宋_GB2312"/>
          <w:sz w:val="28"/>
          <w:szCs w:val="28"/>
        </w:rPr>
      </w:pPr>
      <w:bookmarkStart w:id="15" w:name="_Toc419986986"/>
      <w:r>
        <w:rPr>
          <w:rFonts w:hint="eastAsia" w:ascii="Times New Roman" w:hAnsi="Times New Roman" w:eastAsia="仿宋_GB2312" w:cs="Times New Roman"/>
          <w:kern w:val="0"/>
          <w:sz w:val="28"/>
          <w:szCs w:val="28"/>
        </w:rPr>
        <w:t>2、</w:t>
      </w:r>
      <w:r>
        <w:rPr>
          <w:rFonts w:hint="eastAsia" w:ascii="仿宋_GB2312" w:hAnsi="仿宋_GB2312" w:eastAsia="仿宋_GB2312" w:cs="仿宋_GB2312"/>
          <w:sz w:val="28"/>
          <w:szCs w:val="28"/>
        </w:rPr>
        <w:t>服务期限：</w:t>
      </w:r>
      <w:bookmarkEnd w:id="15"/>
      <w:r>
        <w:rPr>
          <w:rFonts w:hint="eastAsia" w:ascii="仿宋_GB2312" w:hAnsi="仿宋_GB2312" w:eastAsia="仿宋_GB2312" w:cs="仿宋_GB2312"/>
          <w:sz w:val="28"/>
          <w:szCs w:val="28"/>
          <w:lang w:val="en-US" w:eastAsia="zh-CN"/>
        </w:rPr>
        <w:t>按</w:t>
      </w:r>
      <w:r>
        <w:rPr>
          <w:rFonts w:hint="eastAsia" w:ascii="仿宋_GB2312" w:hAnsi="仿宋_GB2312" w:eastAsia="仿宋_GB2312" w:cs="仿宋_GB2312"/>
          <w:sz w:val="28"/>
          <w:szCs w:val="28"/>
        </w:rPr>
        <w:t>合同签订</w:t>
      </w:r>
    </w:p>
    <w:p>
      <w:pPr>
        <w:spacing w:line="600" w:lineRule="exact"/>
        <w:ind w:firstLine="562" w:firstLineChars="200"/>
        <w:outlineLvl w:val="1"/>
        <w:rPr>
          <w:rFonts w:ascii="仿宋_GB2312" w:hAnsi="仿宋_GB2312" w:eastAsia="仿宋_GB2312" w:cs="仿宋_GB2312"/>
          <w:b/>
          <w:sz w:val="28"/>
          <w:szCs w:val="28"/>
        </w:rPr>
      </w:pPr>
      <w:bookmarkStart w:id="16" w:name="_Toc419986987"/>
      <w:r>
        <w:rPr>
          <w:rFonts w:hint="eastAsia" w:ascii="仿宋_GB2312" w:hAnsi="仿宋_GB2312" w:eastAsia="仿宋_GB2312" w:cs="仿宋_GB2312"/>
          <w:b/>
          <w:sz w:val="28"/>
          <w:szCs w:val="28"/>
        </w:rPr>
        <w:t>（二）付款条件</w:t>
      </w:r>
      <w:bookmarkEnd w:id="16"/>
    </w:p>
    <w:p>
      <w:pPr>
        <w:spacing w:line="600" w:lineRule="exact"/>
        <w:ind w:firstLine="840" w:firstLineChars="300"/>
        <w:outlineLvl w:val="1"/>
        <w:rPr>
          <w:rFonts w:hint="default" w:ascii="仿宋" w:hAnsi="仿宋" w:eastAsia="仿宋" w:cs="仿宋"/>
          <w:b/>
          <w:sz w:val="28"/>
          <w:szCs w:val="28"/>
          <w:lang w:val="en-US" w:eastAsia="zh-CN"/>
        </w:rPr>
      </w:pPr>
      <w:bookmarkStart w:id="17" w:name="_Toc419986989"/>
      <w:r>
        <w:rPr>
          <w:rFonts w:hint="eastAsia" w:ascii="仿宋" w:hAnsi="仿宋" w:eastAsia="仿宋" w:cs="仿宋"/>
          <w:sz w:val="28"/>
          <w:szCs w:val="28"/>
          <w:lang w:val="en-US" w:eastAsia="zh-CN"/>
        </w:rPr>
        <w:t>1、</w:t>
      </w:r>
      <w:bookmarkEnd w:id="17"/>
      <w:r>
        <w:rPr>
          <w:rFonts w:hint="eastAsia" w:ascii="仿宋" w:hAnsi="仿宋" w:eastAsia="仿宋" w:cs="仿宋"/>
          <w:sz w:val="28"/>
          <w:szCs w:val="28"/>
          <w:lang w:val="en-US" w:eastAsia="zh-CN"/>
        </w:rPr>
        <w:t>缴付以合同为准。</w:t>
      </w:r>
    </w:p>
    <w:p>
      <w:pPr>
        <w:spacing w:line="600" w:lineRule="exact"/>
        <w:ind w:firstLine="562" w:firstLineChars="200"/>
        <w:outlineLvl w:val="1"/>
        <w:rPr>
          <w:rFonts w:hint="eastAsia" w:ascii="仿宋_GB2312" w:hAnsi="仿宋_GB2312" w:eastAsia="仿宋_GB2312" w:cs="仿宋_GB2312"/>
          <w:b/>
          <w:sz w:val="28"/>
          <w:szCs w:val="28"/>
        </w:rPr>
      </w:pPr>
      <w:bookmarkStart w:id="18" w:name="_Toc419986991"/>
      <w:r>
        <w:rPr>
          <w:rFonts w:hint="eastAsia" w:ascii="仿宋_GB2312" w:hAnsi="仿宋_GB2312" w:eastAsia="仿宋_GB2312" w:cs="仿宋_GB2312"/>
          <w:b/>
          <w:sz w:val="28"/>
          <w:szCs w:val="28"/>
        </w:rPr>
        <w:t>（</w:t>
      </w:r>
      <w:r>
        <w:rPr>
          <w:rFonts w:hint="eastAsia" w:ascii="仿宋_GB2312" w:hAnsi="仿宋_GB2312" w:eastAsia="仿宋_GB2312" w:cs="仿宋_GB2312"/>
          <w:b/>
          <w:sz w:val="28"/>
          <w:szCs w:val="28"/>
          <w:lang w:val="en-US" w:eastAsia="zh-CN"/>
        </w:rPr>
        <w:t>三</w:t>
      </w:r>
      <w:r>
        <w:rPr>
          <w:rFonts w:hint="eastAsia" w:ascii="仿宋_GB2312" w:hAnsi="仿宋_GB2312" w:eastAsia="仿宋_GB2312" w:cs="仿宋_GB2312"/>
          <w:b/>
          <w:sz w:val="28"/>
          <w:szCs w:val="28"/>
        </w:rPr>
        <w:t>）服务保障及相应的时间要求</w:t>
      </w:r>
      <w:bookmarkEnd w:id="18"/>
    </w:p>
    <w:p>
      <w:pPr>
        <w:spacing w:line="360" w:lineRule="auto"/>
        <w:ind w:left="1398" w:leftChars="399" w:hanging="560" w:hangingChars="200"/>
        <w:rPr>
          <w:rFonts w:hint="default" w:ascii="仿宋" w:hAnsi="仿宋" w:eastAsia="仿宋" w:cs="仿宋"/>
          <w:sz w:val="28"/>
          <w:szCs w:val="28"/>
          <w:lang w:val="en-US"/>
        </w:rPr>
      </w:pPr>
      <w:r>
        <w:rPr>
          <w:rFonts w:hint="eastAsia" w:ascii="仿宋" w:hAnsi="仿宋" w:eastAsia="仿宋" w:cs="仿宋"/>
          <w:sz w:val="28"/>
          <w:szCs w:val="28"/>
          <w:lang w:val="en-US" w:eastAsia="zh-CN"/>
        </w:rPr>
        <w:t>1、本保险合同成立后，保险公司应当及时向投保人签发保险凭证。</w:t>
      </w:r>
    </w:p>
    <w:p>
      <w:pPr>
        <w:numPr>
          <w:ilvl w:val="0"/>
          <w:numId w:val="0"/>
        </w:numPr>
        <w:spacing w:line="360" w:lineRule="auto"/>
        <w:ind w:leftChars="0" w:firstLine="840" w:firstLineChars="300"/>
        <w:rPr>
          <w:rFonts w:hint="eastAsia" w:ascii="仿宋" w:hAnsi="仿宋" w:eastAsia="仿宋" w:cs="仿宋"/>
          <w:sz w:val="28"/>
          <w:szCs w:val="28"/>
        </w:rPr>
      </w:pPr>
      <w:r>
        <w:rPr>
          <w:rFonts w:hint="eastAsia" w:ascii="仿宋" w:hAnsi="仿宋" w:eastAsia="仿宋" w:cs="仿宋"/>
          <w:sz w:val="28"/>
          <w:szCs w:val="28"/>
          <w:lang w:val="en-US" w:eastAsia="zh-CN"/>
        </w:rPr>
        <w:t>2、保险公司认为被保险人提供的有关索赔的证明和资料不完整的，应当及时通知投保人、被保险人补充提供。</w:t>
      </w:r>
    </w:p>
    <w:p>
      <w:pPr>
        <w:numPr>
          <w:ilvl w:val="0"/>
          <w:numId w:val="0"/>
        </w:numPr>
        <w:spacing w:line="288" w:lineRule="auto"/>
        <w:ind w:leftChars="0" w:firstLine="840" w:firstLineChars="300"/>
        <w:rPr>
          <w:rFonts w:hint="eastAsia" w:ascii="仿宋" w:hAnsi="仿宋" w:eastAsia="仿宋" w:cs="仿宋"/>
          <w:sz w:val="28"/>
          <w:szCs w:val="28"/>
        </w:rPr>
      </w:pPr>
      <w:r>
        <w:rPr>
          <w:rFonts w:hint="eastAsia" w:ascii="仿宋" w:hAnsi="仿宋" w:eastAsia="仿宋" w:cs="仿宋"/>
          <w:sz w:val="28"/>
          <w:szCs w:val="28"/>
          <w:lang w:val="en-US" w:eastAsia="zh-CN"/>
        </w:rPr>
        <w:t>3、保险公司收到保险人的赔偿保险金的请求后，应当及时作出是否属于保险责任的核定；情形复杂的，应当在三十日内作出核定，但保险合同另有约定的除外</w:t>
      </w:r>
      <w:r>
        <w:rPr>
          <w:rFonts w:hint="eastAsia" w:ascii="仿宋" w:hAnsi="仿宋" w:eastAsia="仿宋" w:cs="仿宋"/>
          <w:sz w:val="28"/>
          <w:szCs w:val="28"/>
        </w:rPr>
        <w:t xml:space="preserve">。 </w:t>
      </w:r>
    </w:p>
    <w:p>
      <w:pPr>
        <w:numPr>
          <w:ilvl w:val="0"/>
          <w:numId w:val="0"/>
        </w:numPr>
        <w:spacing w:line="288" w:lineRule="auto"/>
        <w:ind w:leftChars="0" w:firstLine="840" w:firstLineChars="3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4、保险公司自收到赔偿的请求和有关证明、资料之日起六十日内，对其赔偿金数额不能确定的，应当根据已有证明和资料可以确定的数额先予支付；保险公司最终确定赔偿的数额后，应当支付相应的差额。</w:t>
      </w:r>
    </w:p>
    <w:p>
      <w:pPr>
        <w:spacing w:line="360" w:lineRule="auto"/>
        <w:rPr>
          <w:rFonts w:hint="eastAsia" w:ascii="宋体" w:hAnsi="宋体" w:cs="宋体"/>
          <w:sz w:val="24"/>
        </w:rPr>
      </w:pPr>
    </w:p>
    <w:p>
      <w:pPr>
        <w:spacing w:line="600" w:lineRule="exact"/>
        <w:ind w:firstLine="562" w:firstLineChars="200"/>
        <w:outlineLvl w:val="1"/>
        <w:rPr>
          <w:rFonts w:hint="eastAsia" w:ascii="仿宋_GB2312" w:hAnsi="仿宋_GB2312" w:eastAsia="仿宋_GB2312" w:cs="仿宋_GB2312"/>
          <w:b/>
          <w:sz w:val="28"/>
          <w:szCs w:val="28"/>
        </w:rPr>
      </w:pPr>
    </w:p>
    <w:p>
      <w:pPr>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办公室</w:t>
      </w:r>
    </w:p>
    <w:p>
      <w:pPr>
        <w:jc w:val="right"/>
        <w:rPr>
          <w:rFonts w:hint="default"/>
          <w:lang w:val="en-US" w:eastAsia="zh-CN"/>
        </w:rPr>
      </w:pPr>
      <w:r>
        <w:rPr>
          <w:rFonts w:hint="eastAsia"/>
          <w:sz w:val="28"/>
          <w:szCs w:val="28"/>
          <w:lang w:val="en-US" w:eastAsia="zh-CN"/>
        </w:rPr>
        <w:t>2023.2.17</w:t>
      </w:r>
    </w:p>
    <w:p/>
    <w:sectPr>
      <w:pgSz w:w="11906" w:h="16838"/>
      <w:pgMar w:top="1440" w:right="1266" w:bottom="1440"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EB221C"/>
    <w:multiLevelType w:val="singleLevel"/>
    <w:tmpl w:val="B1EB221C"/>
    <w:lvl w:ilvl="0" w:tentative="0">
      <w:start w:val="3"/>
      <w:numFmt w:val="chineseCounting"/>
      <w:suff w:val="nothing"/>
      <w:lvlText w:val="（%1）"/>
      <w:lvlJc w:val="left"/>
      <w:rPr>
        <w:rFonts w:hint="eastAsia"/>
      </w:rPr>
    </w:lvl>
  </w:abstractNum>
  <w:abstractNum w:abstractNumId="1">
    <w:nsid w:val="E37DF2EA"/>
    <w:multiLevelType w:val="singleLevel"/>
    <w:tmpl w:val="E37DF2EA"/>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0MmM1OGVlYTNiMmY2ZTczZDg2ZGE4MzFkM2JiNDAifQ=="/>
  </w:docVars>
  <w:rsids>
    <w:rsidRoot w:val="00000000"/>
    <w:rsid w:val="11334094"/>
    <w:rsid w:val="3A8B7E2C"/>
    <w:rsid w:val="3BF5359B"/>
    <w:rsid w:val="3C0F0C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jc w:val="left"/>
      <w:outlineLvl w:val="2"/>
    </w:pPr>
    <w:rPr>
      <w:rFonts w:hint="eastAsia" w:ascii="宋体" w:hAnsi="宋体" w:eastAsia="宋体" w:cs="Times New Roman"/>
      <w:kern w:val="0"/>
      <w:sz w:val="2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1475</Words>
  <Characters>1507</Characters>
  <Lines>0</Lines>
  <Paragraphs>0</Paragraphs>
  <TotalTime>25</TotalTime>
  <ScaleCrop>false</ScaleCrop>
  <LinksUpToDate>false</LinksUpToDate>
  <CharactersWithSpaces>1521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2023-02-17T06:55:07Z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D90AD16108D643BE865F8048845646A8</vt:lpwstr>
  </property>
</Properties>
</file>